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D5" w:rsidRDefault="000E66D5" w:rsidP="000E66D5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0E66D5" w:rsidRPr="00F9383D" w:rsidRDefault="000E66D5" w:rsidP="000E66D5">
      <w:pPr>
        <w:pStyle w:val="Subttulo"/>
        <w:rPr>
          <w:rFonts w:ascii="Bauhaus 93" w:hAnsi="Bauhaus 93"/>
          <w:i w:val="0"/>
          <w:sz w:val="28"/>
          <w:szCs w:val="28"/>
        </w:rPr>
      </w:pPr>
      <w:r>
        <w:rPr>
          <w:rFonts w:ascii="Bauhaus 93" w:hAnsi="Bauhaus 93"/>
          <w:i w:val="0"/>
          <w:sz w:val="28"/>
          <w:szCs w:val="28"/>
        </w:rPr>
        <w:t>La Nueva Regulación Del Procedimiento Administrativo</w:t>
      </w:r>
      <w:proofErr w:type="gramStart"/>
      <w:r>
        <w:rPr>
          <w:rFonts w:ascii="Bauhaus 93" w:hAnsi="Bauhaus 93"/>
          <w:i w:val="0"/>
          <w:sz w:val="28"/>
          <w:szCs w:val="28"/>
        </w:rPr>
        <w:t>.(</w:t>
      </w:r>
      <w:proofErr w:type="gramEnd"/>
      <w:r w:rsidRPr="000E66D5">
        <w:t xml:space="preserve"> </w:t>
      </w:r>
      <w:r w:rsidRPr="000E66D5">
        <w:rPr>
          <w:rFonts w:ascii="Bauhaus 93" w:hAnsi="Bauhaus 93"/>
          <w:i w:val="0"/>
          <w:sz w:val="28"/>
          <w:szCs w:val="28"/>
        </w:rPr>
        <w:t>Ley 39/2015, de 1 de octubre, del Procedimiento Administrativo Común de las Administraciones Públicas)</w:t>
      </w:r>
    </w:p>
    <w:p w:rsidR="000E66D5" w:rsidRDefault="000E66D5" w:rsidP="000E66D5"/>
    <w:p w:rsidR="000E66D5" w:rsidRDefault="000E66D5" w:rsidP="000E66D5"/>
    <w:p w:rsidR="000E66D5" w:rsidRDefault="000E66D5" w:rsidP="000E66D5">
      <w:pPr>
        <w:pStyle w:val="Prrafodelista"/>
        <w:numPr>
          <w:ilvl w:val="0"/>
          <w:numId w:val="1"/>
        </w:numPr>
      </w:pPr>
      <w:r>
        <w:t>Curso: online</w:t>
      </w:r>
    </w:p>
    <w:p w:rsidR="000E66D5" w:rsidRDefault="000E66D5" w:rsidP="000E66D5">
      <w:pPr>
        <w:pStyle w:val="Prrafodelista"/>
        <w:numPr>
          <w:ilvl w:val="0"/>
          <w:numId w:val="1"/>
        </w:numPr>
      </w:pPr>
      <w:r w:rsidRPr="00680ED1">
        <w:t>Perfil personas destinatarias</w:t>
      </w:r>
      <w:r>
        <w:t xml:space="preserve">: </w:t>
      </w:r>
      <w:r w:rsidRPr="000E66D5">
        <w:t>Cualquier empleado público de cualquier nivel, sea personal laboral, funcionario o estatutario.</w:t>
      </w:r>
    </w:p>
    <w:p w:rsidR="000E66D5" w:rsidRDefault="000E66D5" w:rsidP="000E66D5">
      <w:pPr>
        <w:pStyle w:val="Prrafodelista"/>
        <w:numPr>
          <w:ilvl w:val="0"/>
          <w:numId w:val="1"/>
        </w:numPr>
      </w:pPr>
      <w:r>
        <w:t xml:space="preserve">Duración:  30  horas </w:t>
      </w:r>
    </w:p>
    <w:p w:rsidR="000E66D5" w:rsidRDefault="000E66D5" w:rsidP="000E66D5">
      <w:pPr>
        <w:pStyle w:val="Prrafodelista"/>
        <w:numPr>
          <w:ilvl w:val="0"/>
          <w:numId w:val="1"/>
        </w:numPr>
      </w:pPr>
      <w:r>
        <w:t>Fecha:</w:t>
      </w:r>
      <w:r w:rsidR="008920B7">
        <w:t xml:space="preserve"> del </w:t>
      </w:r>
      <w:r w:rsidR="00614042">
        <w:t>14 de noviembre al 18</w:t>
      </w:r>
      <w:r w:rsidR="001A09CD">
        <w:t xml:space="preserve"> de diciembre.</w:t>
      </w:r>
    </w:p>
    <w:p w:rsidR="000E66D5" w:rsidRPr="00EE1B95" w:rsidRDefault="000E66D5" w:rsidP="000E66D5">
      <w:pPr>
        <w:rPr>
          <w:color w:val="1F497D" w:themeColor="text2"/>
        </w:rPr>
      </w:pPr>
    </w:p>
    <w:p w:rsidR="000E66D5" w:rsidRPr="00EE1B95" w:rsidRDefault="000E66D5" w:rsidP="000E66D5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0E66D5" w:rsidRDefault="000E66D5" w:rsidP="000E66D5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es-ES"/>
        </w:rPr>
      </w:pPr>
      <w:r w:rsidRPr="000E66D5">
        <w:rPr>
          <w:rFonts w:eastAsia="Times New Roman" w:cs="Times New Roman"/>
          <w:lang w:eastAsia="es-ES"/>
        </w:rPr>
        <w:t>El al</w:t>
      </w:r>
      <w:r w:rsidR="001A09CD">
        <w:rPr>
          <w:rFonts w:eastAsia="Times New Roman" w:cs="Times New Roman"/>
          <w:lang w:eastAsia="es-ES"/>
        </w:rPr>
        <w:t>umnado</w:t>
      </w:r>
      <w:r w:rsidRPr="000E66D5">
        <w:rPr>
          <w:rFonts w:eastAsia="Times New Roman" w:cs="Times New Roman"/>
          <w:lang w:eastAsia="es-ES"/>
        </w:rPr>
        <w:t xml:space="preserve"> sabrá reconocer en un procedimiento administrativo si el ciudadano implicado en el mismo tiene o no la cualidad de interesado, a fin de proceder a suministrar información conforme a lo dispuesto en esta Ley y en la Ley de Transparencia. </w:t>
      </w:r>
    </w:p>
    <w:p w:rsidR="000E66D5" w:rsidRPr="000E66D5" w:rsidRDefault="001A09CD" w:rsidP="000E66D5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P</w:t>
      </w:r>
      <w:r w:rsidR="000E66D5" w:rsidRPr="000E66D5">
        <w:rPr>
          <w:rFonts w:eastAsia="Times New Roman" w:cs="Times New Roman"/>
          <w:lang w:eastAsia="es-ES"/>
        </w:rPr>
        <w:t xml:space="preserve">odrá o no denegar peticiones que el ciudadano considere como derechos con conocimiento de causa. </w:t>
      </w:r>
    </w:p>
    <w:p w:rsidR="000E66D5" w:rsidRPr="000E66D5" w:rsidRDefault="001A09CD" w:rsidP="000E66D5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 </w:t>
      </w:r>
      <w:r w:rsidR="000E66D5" w:rsidRPr="000E66D5">
        <w:rPr>
          <w:rFonts w:eastAsia="Times New Roman" w:cs="Times New Roman"/>
          <w:lang w:eastAsia="es-ES"/>
        </w:rPr>
        <w:t xml:space="preserve"> </w:t>
      </w:r>
      <w:r>
        <w:rPr>
          <w:rFonts w:eastAsia="Times New Roman" w:cs="Times New Roman"/>
          <w:lang w:eastAsia="es-ES"/>
        </w:rPr>
        <w:t>T</w:t>
      </w:r>
      <w:r w:rsidR="000E66D5" w:rsidRPr="000E66D5">
        <w:rPr>
          <w:rFonts w:eastAsia="Times New Roman" w:cs="Times New Roman"/>
          <w:lang w:eastAsia="es-ES"/>
        </w:rPr>
        <w:t xml:space="preserve">endrá claros los plazos procedimentales a fin de no cometer errores que provoquen que los intereses de la Diputación se vean menoscabados. </w:t>
      </w:r>
    </w:p>
    <w:p w:rsidR="000E66D5" w:rsidRPr="000E66D5" w:rsidRDefault="000E66D5" w:rsidP="000E66D5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es-ES"/>
        </w:rPr>
      </w:pPr>
      <w:r w:rsidRPr="000E66D5">
        <w:rPr>
          <w:rFonts w:eastAsia="Times New Roman" w:cs="Times New Roman"/>
          <w:lang w:eastAsia="es-ES"/>
        </w:rPr>
        <w:t xml:space="preserve"> </w:t>
      </w:r>
      <w:r w:rsidR="001A09CD">
        <w:rPr>
          <w:rFonts w:eastAsia="Times New Roman" w:cs="Times New Roman"/>
          <w:lang w:eastAsia="es-ES"/>
        </w:rPr>
        <w:t>T</w:t>
      </w:r>
      <w:r w:rsidRPr="000E66D5">
        <w:rPr>
          <w:rFonts w:eastAsia="Times New Roman" w:cs="Times New Roman"/>
          <w:lang w:eastAsia="es-ES"/>
        </w:rPr>
        <w:t xml:space="preserve">endrá claro qué tramites puede simplificar en aras de la celeridad y simplificación del procedimiento, con el consiguiente ahorro en tiempo y medios </w:t>
      </w:r>
    </w:p>
    <w:p w:rsidR="000E66D5" w:rsidRPr="000E66D5" w:rsidRDefault="001A09CD" w:rsidP="000E66D5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T</w:t>
      </w:r>
      <w:r w:rsidR="000E66D5" w:rsidRPr="000E66D5">
        <w:rPr>
          <w:rFonts w:eastAsia="Times New Roman" w:cs="Times New Roman"/>
          <w:lang w:eastAsia="es-ES"/>
        </w:rPr>
        <w:t xml:space="preserve">endrá claro qué tipo de documentos puede registrar de entrada y cuáles no </w:t>
      </w:r>
    </w:p>
    <w:p w:rsidR="000E66D5" w:rsidRPr="000E66D5" w:rsidRDefault="001A09CD" w:rsidP="000E66D5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T</w:t>
      </w:r>
      <w:r w:rsidR="000E66D5" w:rsidRPr="000E66D5">
        <w:rPr>
          <w:rFonts w:eastAsia="Times New Roman" w:cs="Times New Roman"/>
          <w:lang w:eastAsia="es-ES"/>
        </w:rPr>
        <w:t xml:space="preserve">endrá claro cuándo es posible acudir a la tramitación simplificada y no cometerá errores de calificación del procedimiento, con el consiguiente impulso de la tramitación </w:t>
      </w:r>
    </w:p>
    <w:p w:rsidR="000E66D5" w:rsidRPr="000E66D5" w:rsidRDefault="001A09CD" w:rsidP="000E66D5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C</w:t>
      </w:r>
      <w:r w:rsidR="000E66D5" w:rsidRPr="000E66D5">
        <w:rPr>
          <w:rFonts w:eastAsia="Times New Roman" w:cs="Times New Roman"/>
          <w:lang w:eastAsia="es-ES"/>
        </w:rPr>
        <w:t xml:space="preserve">onocerá los efectos de la finalización del procedimiento por reconocimiento de la responsabilidad en el procedimiento sancionador, actuando en consecuencia en cada caso </w:t>
      </w:r>
    </w:p>
    <w:p w:rsidR="000E66D5" w:rsidRPr="000E66D5" w:rsidRDefault="001A09CD" w:rsidP="000E66D5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lastRenderedPageBreak/>
        <w:t>T</w:t>
      </w:r>
      <w:r w:rsidR="000E66D5" w:rsidRPr="000E66D5">
        <w:rPr>
          <w:rFonts w:eastAsia="Times New Roman" w:cs="Times New Roman"/>
          <w:lang w:eastAsia="es-ES"/>
        </w:rPr>
        <w:t xml:space="preserve">endrá claros los plazos máximos para resolver y notificar, con el consiguiente incremento de la eficiencia al evitar errores procedimentales que perjudiquen a la administración </w:t>
      </w:r>
    </w:p>
    <w:p w:rsidR="000E66D5" w:rsidRPr="000E66D5" w:rsidRDefault="001A09CD" w:rsidP="000E66D5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T</w:t>
      </w:r>
      <w:r w:rsidR="000E66D5" w:rsidRPr="000E66D5">
        <w:rPr>
          <w:rFonts w:eastAsia="Times New Roman" w:cs="Times New Roman"/>
          <w:lang w:eastAsia="es-ES"/>
        </w:rPr>
        <w:t>endrá claro si aceptar o no a trámite una acción de nulidad en el caso de reclamaciones por el funcionamiento de los servicios públicos evitando errores procedimentales y sus consiguientes costes procedimentales y jurídicos</w:t>
      </w:r>
    </w:p>
    <w:p w:rsidR="000E66D5" w:rsidRDefault="000E66D5" w:rsidP="000E66D5">
      <w:pPr>
        <w:pStyle w:val="Prrafodelista"/>
        <w:ind w:left="1353"/>
      </w:pPr>
    </w:p>
    <w:p w:rsidR="000E66D5" w:rsidRDefault="000E66D5" w:rsidP="000E66D5"/>
    <w:p w:rsidR="000E66D5" w:rsidRPr="00EE1B95" w:rsidRDefault="000E66D5" w:rsidP="000E66D5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4A1274" w:rsidRPr="00CD52D7" w:rsidRDefault="004A1274" w:rsidP="004A1274">
      <w:pPr>
        <w:spacing w:line="360" w:lineRule="auto"/>
        <w:rPr>
          <w:rFonts w:ascii="Verdana" w:eastAsia="Times New Roman" w:hAnsi="Verdana" w:cs="Times New Roman"/>
          <w:b/>
          <w:color w:val="548DD4" w:themeColor="text2" w:themeTint="99"/>
          <w:sz w:val="20"/>
          <w:szCs w:val="20"/>
          <w:u w:val="single"/>
          <w:lang w:eastAsia="es-ES"/>
        </w:rPr>
      </w:pPr>
      <w:r w:rsidRPr="00CD52D7">
        <w:rPr>
          <w:rFonts w:ascii="Verdana" w:eastAsia="Times New Roman" w:hAnsi="Verdana" w:cs="Times New Roman"/>
          <w:b/>
          <w:color w:val="548DD4" w:themeColor="text2" w:themeTint="99"/>
          <w:sz w:val="20"/>
          <w:szCs w:val="20"/>
          <w:u w:val="single"/>
          <w:lang w:eastAsia="es-ES"/>
        </w:rPr>
        <w:t xml:space="preserve">TEMA 1. DISPOSICIONES GENERALES.  </w:t>
      </w:r>
    </w:p>
    <w:p w:rsidR="004A1274" w:rsidRPr="00E04691" w:rsidRDefault="004A1274" w:rsidP="00E04691">
      <w:pPr>
        <w:spacing w:line="360" w:lineRule="auto"/>
        <w:rPr>
          <w:rFonts w:ascii="Verdana" w:eastAsia="Times New Roman" w:hAnsi="Verdana" w:cs="Times New Roman"/>
          <w:b/>
          <w:color w:val="548DD4" w:themeColor="text2" w:themeTint="99"/>
          <w:sz w:val="20"/>
          <w:szCs w:val="20"/>
          <w:lang w:eastAsia="es-ES"/>
        </w:rPr>
      </w:pPr>
      <w:r w:rsidRPr="003A3158">
        <w:rPr>
          <w:rFonts w:ascii="Verdana" w:eastAsia="Times New Roman" w:hAnsi="Verdana" w:cs="Times New Roman"/>
          <w:b/>
          <w:color w:val="548DD4" w:themeColor="text2" w:themeTint="99"/>
          <w:sz w:val="20"/>
          <w:szCs w:val="20"/>
          <w:lang w:eastAsia="es-ES"/>
        </w:rPr>
        <w:t xml:space="preserve">1.1. Interesados en el procedimiento. Título I LPA. </w:t>
      </w:r>
    </w:p>
    <w:p w:rsidR="004A1274" w:rsidRDefault="004A1274" w:rsidP="003A3158">
      <w:pPr>
        <w:pStyle w:val="Prrafodelista"/>
        <w:ind w:left="1353" w:hanging="1353"/>
      </w:pPr>
      <w:r w:rsidRPr="003A3158">
        <w:rPr>
          <w:b/>
          <w:color w:val="548DD4" w:themeColor="text2" w:themeTint="99"/>
        </w:rPr>
        <w:t>1.2. Actividad de las administraciones públicas. Título II LLPAC</w:t>
      </w:r>
      <w:r>
        <w:t>.</w:t>
      </w:r>
    </w:p>
    <w:p w:rsidR="004A1274" w:rsidRPr="003A3158" w:rsidRDefault="004A1274" w:rsidP="004A1274">
      <w:pPr>
        <w:pStyle w:val="Prrafodelista"/>
        <w:ind w:left="1353"/>
        <w:rPr>
          <w:b/>
          <w:color w:val="548DD4" w:themeColor="text2" w:themeTint="99"/>
        </w:rPr>
      </w:pPr>
      <w:r w:rsidRPr="003A3158">
        <w:rPr>
          <w:b/>
          <w:color w:val="548DD4" w:themeColor="text2" w:themeTint="99"/>
        </w:rPr>
        <w:t>TEMA 2. DISPOSICIONES SOBRE EL PROCEDIMIENTO ADMINISTRATIVO COMÚN. TÍTULO IV LPAC.</w:t>
      </w:r>
    </w:p>
    <w:p w:rsidR="004A1274" w:rsidRDefault="004A1274" w:rsidP="004A1274">
      <w:pPr>
        <w:pStyle w:val="Prrafodelista"/>
        <w:ind w:left="1353"/>
      </w:pPr>
    </w:p>
    <w:p w:rsidR="004A1274" w:rsidRPr="003A3158" w:rsidRDefault="004A1274" w:rsidP="004A1274">
      <w:pPr>
        <w:pStyle w:val="Prrafodelista"/>
        <w:ind w:left="1353"/>
        <w:rPr>
          <w:b/>
          <w:color w:val="548DD4" w:themeColor="text2" w:themeTint="99"/>
        </w:rPr>
      </w:pPr>
      <w:r w:rsidRPr="003A3158">
        <w:rPr>
          <w:b/>
          <w:color w:val="548DD4" w:themeColor="text2" w:themeTint="99"/>
        </w:rPr>
        <w:t>2.1</w:t>
      </w:r>
      <w:r w:rsidRPr="003A3158">
        <w:rPr>
          <w:b/>
          <w:color w:val="548DD4" w:themeColor="text2" w:themeTint="99"/>
        </w:rPr>
        <w:tab/>
        <w:t>CONCEPTO Y NATURALEZA. Los principios informadores del procedimiento administrativo</w:t>
      </w:r>
    </w:p>
    <w:p w:rsidR="004A1274" w:rsidRDefault="004A1274" w:rsidP="004A1274">
      <w:pPr>
        <w:pStyle w:val="Prrafodelista"/>
        <w:ind w:left="1353"/>
      </w:pPr>
    </w:p>
    <w:p w:rsidR="004A1274" w:rsidRPr="003A3158" w:rsidRDefault="004A1274" w:rsidP="004A1274">
      <w:pPr>
        <w:pStyle w:val="Prrafodelista"/>
        <w:ind w:left="1353"/>
        <w:rPr>
          <w:b/>
          <w:color w:val="548DD4" w:themeColor="text2" w:themeTint="99"/>
        </w:rPr>
      </w:pPr>
      <w:r w:rsidRPr="003A3158">
        <w:rPr>
          <w:b/>
          <w:color w:val="548DD4" w:themeColor="text2" w:themeTint="99"/>
        </w:rPr>
        <w:t>2.2.</w:t>
      </w:r>
      <w:r w:rsidRPr="003A3158">
        <w:rPr>
          <w:b/>
          <w:color w:val="548DD4" w:themeColor="text2" w:themeTint="99"/>
        </w:rPr>
        <w:tab/>
        <w:t xml:space="preserve">LAS FASES DEL PROCEDIMIENTO ADMINISTRATIVO: INICIACIÓN, ORDENACIÓN, INSTRUCCIÓN Y TERMINACIÓN  </w:t>
      </w:r>
    </w:p>
    <w:p w:rsidR="004A1274" w:rsidRDefault="004A1274" w:rsidP="004A1274">
      <w:pPr>
        <w:tabs>
          <w:tab w:val="left" w:pos="2838"/>
        </w:tabs>
      </w:pPr>
    </w:p>
    <w:p w:rsidR="004A1274" w:rsidRPr="003A3158" w:rsidRDefault="004A1274" w:rsidP="004A1274">
      <w:pPr>
        <w:tabs>
          <w:tab w:val="left" w:pos="1418"/>
        </w:tabs>
        <w:rPr>
          <w:b/>
          <w:color w:val="548DD4" w:themeColor="text2" w:themeTint="99"/>
        </w:rPr>
      </w:pPr>
      <w:r>
        <w:tab/>
      </w:r>
      <w:r w:rsidRPr="003A3158">
        <w:rPr>
          <w:b/>
          <w:color w:val="548DD4" w:themeColor="text2" w:themeTint="99"/>
        </w:rPr>
        <w:t>2.2.3</w:t>
      </w:r>
      <w:r w:rsidRPr="003A3158">
        <w:rPr>
          <w:b/>
          <w:color w:val="548DD4" w:themeColor="text2" w:themeTint="99"/>
        </w:rPr>
        <w:tab/>
        <w:t xml:space="preserve">ORDENACIÓN DEL PROCEDIMIENTO  </w:t>
      </w:r>
    </w:p>
    <w:p w:rsidR="004A1274" w:rsidRDefault="004A1274" w:rsidP="00E04691">
      <w:pPr>
        <w:tabs>
          <w:tab w:val="left" w:pos="2838"/>
        </w:tabs>
      </w:pPr>
      <w:r>
        <w:tab/>
      </w:r>
    </w:p>
    <w:p w:rsidR="004A1274" w:rsidRPr="003A3158" w:rsidRDefault="004A1274" w:rsidP="003A3158">
      <w:pPr>
        <w:tabs>
          <w:tab w:val="left" w:pos="1418"/>
        </w:tabs>
        <w:rPr>
          <w:b/>
          <w:color w:val="548DD4" w:themeColor="text2" w:themeTint="99"/>
        </w:rPr>
      </w:pPr>
      <w:r>
        <w:tab/>
      </w:r>
      <w:r w:rsidRPr="003A3158">
        <w:rPr>
          <w:b/>
          <w:color w:val="548DD4" w:themeColor="text2" w:themeTint="99"/>
        </w:rPr>
        <w:t>2.2.4</w:t>
      </w:r>
      <w:r w:rsidRPr="003A3158">
        <w:rPr>
          <w:b/>
          <w:color w:val="548DD4" w:themeColor="text2" w:themeTint="99"/>
        </w:rPr>
        <w:tab/>
        <w:t xml:space="preserve">INSTRUCCIÓN DEL PROCEDIMIENTO  </w:t>
      </w:r>
    </w:p>
    <w:p w:rsidR="004A1274" w:rsidRPr="003A3158" w:rsidRDefault="004A1274" w:rsidP="00E04691">
      <w:pPr>
        <w:tabs>
          <w:tab w:val="left" w:pos="2838"/>
        </w:tabs>
      </w:pPr>
      <w:r>
        <w:tab/>
      </w:r>
      <w:r w:rsidRPr="003A3158">
        <w:t xml:space="preserve"> </w:t>
      </w:r>
    </w:p>
    <w:p w:rsidR="004A1274" w:rsidRPr="003A3158" w:rsidRDefault="004A1274" w:rsidP="003A3158">
      <w:pPr>
        <w:tabs>
          <w:tab w:val="left" w:pos="1418"/>
        </w:tabs>
        <w:rPr>
          <w:b/>
          <w:color w:val="548DD4" w:themeColor="text2" w:themeTint="99"/>
        </w:rPr>
      </w:pPr>
      <w:r w:rsidRPr="003A3158">
        <w:rPr>
          <w:color w:val="548DD4" w:themeColor="text2" w:themeTint="99"/>
        </w:rPr>
        <w:tab/>
      </w:r>
      <w:r w:rsidRPr="003A3158">
        <w:rPr>
          <w:b/>
          <w:color w:val="548DD4" w:themeColor="text2" w:themeTint="99"/>
        </w:rPr>
        <w:t>2.2.5</w:t>
      </w:r>
      <w:r w:rsidRPr="003A3158">
        <w:rPr>
          <w:b/>
          <w:color w:val="548DD4" w:themeColor="text2" w:themeTint="99"/>
        </w:rPr>
        <w:tab/>
        <w:t xml:space="preserve">TERMINACIÓN DEL PROCEDIMIENTO </w:t>
      </w:r>
    </w:p>
    <w:p w:rsidR="004A1274" w:rsidRDefault="004A1274" w:rsidP="00E04691">
      <w:pPr>
        <w:tabs>
          <w:tab w:val="left" w:pos="2838"/>
        </w:tabs>
      </w:pPr>
      <w:r>
        <w:tab/>
        <w:t xml:space="preserve"> </w:t>
      </w:r>
    </w:p>
    <w:p w:rsidR="004A1274" w:rsidRPr="003A3158" w:rsidRDefault="004A1274" w:rsidP="003A3158">
      <w:pPr>
        <w:tabs>
          <w:tab w:val="left" w:pos="1418"/>
        </w:tabs>
        <w:ind w:left="1418" w:hanging="1418"/>
        <w:rPr>
          <w:b/>
          <w:color w:val="548DD4" w:themeColor="text2" w:themeTint="99"/>
        </w:rPr>
      </w:pPr>
      <w:r>
        <w:tab/>
      </w:r>
      <w:r w:rsidRPr="003A3158">
        <w:rPr>
          <w:b/>
          <w:color w:val="548DD4" w:themeColor="text2" w:themeTint="99"/>
        </w:rPr>
        <w:t>2.2.6</w:t>
      </w:r>
      <w:r w:rsidRPr="003A3158">
        <w:rPr>
          <w:b/>
          <w:color w:val="548DD4" w:themeColor="text2" w:themeTint="99"/>
        </w:rPr>
        <w:tab/>
        <w:t>TÉRMINOS Y</w:t>
      </w:r>
      <w:r w:rsidR="003A3158">
        <w:rPr>
          <w:b/>
          <w:color w:val="548DD4" w:themeColor="text2" w:themeTint="99"/>
        </w:rPr>
        <w:t xml:space="preserve"> PLAZOS: CÓMPUTO, AMPLIACIÓN Y </w:t>
      </w:r>
      <w:r w:rsidRPr="003A3158">
        <w:rPr>
          <w:b/>
          <w:color w:val="548DD4" w:themeColor="text2" w:themeTint="99"/>
        </w:rPr>
        <w:t xml:space="preserve">TRAMITACIÓN DE URGENCIA  </w:t>
      </w:r>
    </w:p>
    <w:p w:rsidR="004A1274" w:rsidRDefault="004A1274" w:rsidP="00E04691">
      <w:pPr>
        <w:tabs>
          <w:tab w:val="left" w:pos="2838"/>
        </w:tabs>
      </w:pPr>
      <w:r>
        <w:tab/>
      </w:r>
    </w:p>
    <w:p w:rsidR="00CD52D7" w:rsidRPr="00CD52D7" w:rsidRDefault="00CD52D7" w:rsidP="003A3158">
      <w:pPr>
        <w:spacing w:line="360" w:lineRule="auto"/>
        <w:ind w:firstLine="1276"/>
        <w:rPr>
          <w:rFonts w:ascii="Verdana" w:eastAsia="Times New Roman" w:hAnsi="Verdana" w:cs="Times New Roman"/>
          <w:b/>
          <w:color w:val="666666"/>
          <w:sz w:val="20"/>
          <w:szCs w:val="20"/>
          <w:u w:val="single"/>
          <w:lang w:eastAsia="es-ES"/>
        </w:rPr>
      </w:pPr>
      <w:r w:rsidRPr="00CD52D7">
        <w:rPr>
          <w:rFonts w:ascii="Verdana" w:eastAsia="Times New Roman" w:hAnsi="Verdana" w:cs="Times New Roman"/>
          <w:b/>
          <w:color w:val="548DD4" w:themeColor="text2" w:themeTint="99"/>
          <w:sz w:val="20"/>
          <w:szCs w:val="20"/>
          <w:u w:val="single"/>
          <w:lang w:eastAsia="es-ES"/>
        </w:rPr>
        <w:t>TEMA 3. TRAMITACIÓN SIMPLIFICADA. ART. 96 LPAC</w:t>
      </w:r>
      <w:r w:rsidRPr="00CD52D7">
        <w:rPr>
          <w:rFonts w:ascii="Verdana" w:eastAsia="Times New Roman" w:hAnsi="Verdana" w:cs="Times New Roman"/>
          <w:b/>
          <w:color w:val="666666"/>
          <w:sz w:val="20"/>
          <w:szCs w:val="20"/>
          <w:u w:val="single"/>
          <w:lang w:eastAsia="es-ES"/>
        </w:rPr>
        <w:t>.</w:t>
      </w:r>
    </w:p>
    <w:p w:rsidR="00CD52D7" w:rsidRPr="00CD52D7" w:rsidRDefault="00CD52D7" w:rsidP="003A3158">
      <w:pPr>
        <w:spacing w:line="360" w:lineRule="auto"/>
        <w:ind w:firstLine="2835"/>
        <w:rPr>
          <w:rFonts w:eastAsia="Times New Roman" w:cs="Times New Roman"/>
          <w:b/>
          <w:color w:val="666666"/>
          <w:sz w:val="20"/>
          <w:szCs w:val="20"/>
          <w:lang w:eastAsia="es-ES"/>
        </w:rPr>
      </w:pPr>
      <w:r w:rsidRPr="00CD52D7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lastRenderedPageBreak/>
        <w:t xml:space="preserve">3.1. </w:t>
      </w:r>
      <w:r w:rsidRPr="00CD52D7">
        <w:rPr>
          <w:rFonts w:eastAsia="Times New Roman" w:cs="Times New Roman"/>
          <w:b/>
          <w:color w:val="666666"/>
          <w:sz w:val="20"/>
          <w:szCs w:val="20"/>
          <w:lang w:eastAsia="es-ES"/>
        </w:rPr>
        <w:t>Novedades implantadas por la Ley 39/2015</w:t>
      </w:r>
    </w:p>
    <w:p w:rsidR="00CD52D7" w:rsidRPr="00CD52D7" w:rsidRDefault="00CD52D7" w:rsidP="003A3158">
      <w:pPr>
        <w:spacing w:line="360" w:lineRule="auto"/>
        <w:ind w:left="2832" w:firstLine="3"/>
        <w:rPr>
          <w:rFonts w:eastAsia="Times New Roman" w:cs="Times New Roman"/>
          <w:b/>
          <w:color w:val="666666"/>
          <w:sz w:val="20"/>
          <w:szCs w:val="20"/>
          <w:lang w:eastAsia="es-ES"/>
        </w:rPr>
      </w:pPr>
      <w:r w:rsidRPr="00CD52D7">
        <w:rPr>
          <w:rFonts w:eastAsia="Times New Roman" w:cs="Times New Roman"/>
          <w:b/>
          <w:color w:val="666666"/>
          <w:sz w:val="20"/>
          <w:szCs w:val="20"/>
          <w:lang w:eastAsia="es-ES"/>
        </w:rPr>
        <w:t>3.2. Regulación positiva (Artículo 56 -antiguos artículos 50 y 143 Ley 30/1992)</w:t>
      </w:r>
    </w:p>
    <w:p w:rsidR="00CD52D7" w:rsidRPr="00CD52D7" w:rsidRDefault="00CD52D7" w:rsidP="003A3158">
      <w:pPr>
        <w:spacing w:line="360" w:lineRule="auto"/>
        <w:ind w:left="2832" w:firstLine="3"/>
        <w:rPr>
          <w:rFonts w:eastAsia="Times New Roman" w:cs="Times New Roman"/>
          <w:b/>
          <w:color w:val="666666"/>
          <w:sz w:val="20"/>
          <w:szCs w:val="20"/>
          <w:lang w:eastAsia="es-ES"/>
        </w:rPr>
      </w:pPr>
      <w:r w:rsidRPr="00CD52D7">
        <w:rPr>
          <w:rFonts w:eastAsia="Times New Roman" w:cs="Times New Roman"/>
          <w:b/>
          <w:color w:val="666666"/>
          <w:sz w:val="20"/>
          <w:szCs w:val="20"/>
          <w:lang w:eastAsia="es-ES"/>
        </w:rPr>
        <w:t>3.3. Preguntas y respuestas sobre el procedimiento simplificado</w:t>
      </w:r>
    </w:p>
    <w:p w:rsidR="003A3158" w:rsidRPr="003A3158" w:rsidRDefault="003A3158" w:rsidP="00CD52D7">
      <w:pPr>
        <w:spacing w:line="360" w:lineRule="auto"/>
        <w:rPr>
          <w:rFonts w:ascii="Verdana" w:eastAsia="Times New Roman" w:hAnsi="Verdana" w:cs="Times New Roman"/>
          <w:b/>
          <w:color w:val="548DD4" w:themeColor="text2" w:themeTint="99"/>
          <w:sz w:val="20"/>
          <w:szCs w:val="20"/>
          <w:u w:val="single"/>
          <w:lang w:eastAsia="es-ES"/>
        </w:rPr>
      </w:pPr>
    </w:p>
    <w:p w:rsidR="00CD52D7" w:rsidRPr="00CD52D7" w:rsidRDefault="00CD52D7" w:rsidP="003A3158">
      <w:pPr>
        <w:spacing w:line="360" w:lineRule="auto"/>
        <w:ind w:firstLine="1276"/>
        <w:rPr>
          <w:rFonts w:ascii="Verdana" w:eastAsia="Times New Roman" w:hAnsi="Verdana" w:cs="Times New Roman"/>
          <w:b/>
          <w:color w:val="548DD4" w:themeColor="text2" w:themeTint="99"/>
          <w:sz w:val="20"/>
          <w:szCs w:val="20"/>
          <w:u w:val="single"/>
          <w:lang w:eastAsia="es-ES"/>
        </w:rPr>
      </w:pPr>
      <w:r w:rsidRPr="00CD52D7">
        <w:rPr>
          <w:rFonts w:ascii="Verdana" w:eastAsia="Times New Roman" w:hAnsi="Verdana" w:cs="Times New Roman"/>
          <w:b/>
          <w:color w:val="548DD4" w:themeColor="text2" w:themeTint="99"/>
          <w:sz w:val="20"/>
          <w:szCs w:val="20"/>
          <w:u w:val="single"/>
          <w:lang w:eastAsia="es-ES"/>
        </w:rPr>
        <w:t>TEMA 4. ESPECIALIDADES</w:t>
      </w:r>
    </w:p>
    <w:p w:rsidR="00CD52D7" w:rsidRPr="00CD52D7" w:rsidRDefault="00CD52D7" w:rsidP="003A3158">
      <w:pPr>
        <w:spacing w:line="360" w:lineRule="auto"/>
        <w:ind w:firstLine="2835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CD52D7">
        <w:rPr>
          <w:rFonts w:ascii="Verdana" w:eastAsia="Times New Roman" w:hAnsi="Verdana" w:cs="Times New Roman"/>
          <w:b/>
          <w:sz w:val="20"/>
          <w:szCs w:val="20"/>
          <w:lang w:eastAsia="es-ES"/>
        </w:rPr>
        <w:t>4.1. Novedades de la Ley 39/2015</w:t>
      </w:r>
    </w:p>
    <w:p w:rsidR="00CD52D7" w:rsidRPr="00CD52D7" w:rsidRDefault="00CD52D7" w:rsidP="003A3158">
      <w:pPr>
        <w:spacing w:line="360" w:lineRule="auto"/>
        <w:ind w:left="2832" w:firstLine="3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CD52D7">
        <w:rPr>
          <w:rFonts w:ascii="Verdana" w:eastAsia="Times New Roman" w:hAnsi="Verdana" w:cs="Times New Roman"/>
          <w:b/>
          <w:sz w:val="20"/>
          <w:szCs w:val="20"/>
          <w:lang w:eastAsia="es-ES"/>
        </w:rPr>
        <w:t>4.2. Especialidades del procedimiento sancionador.</w:t>
      </w:r>
    </w:p>
    <w:p w:rsidR="00CD52D7" w:rsidRPr="00CD52D7" w:rsidRDefault="003A3158" w:rsidP="003A3158">
      <w:pPr>
        <w:spacing w:line="360" w:lineRule="auto"/>
        <w:ind w:firstLine="1843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D601DF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</w:r>
      <w:r w:rsidR="00CD52D7" w:rsidRPr="00CD52D7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  <w:t>4.2.1. CONCEPTO</w:t>
      </w:r>
    </w:p>
    <w:p w:rsidR="00CD52D7" w:rsidRPr="00CD52D7" w:rsidRDefault="00CD52D7" w:rsidP="003A3158">
      <w:pPr>
        <w:spacing w:line="360" w:lineRule="auto"/>
        <w:ind w:left="2124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CD52D7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  <w:t>4.2.2. Principios informadores de la potestad sancionadora</w:t>
      </w:r>
    </w:p>
    <w:p w:rsidR="00CD52D7" w:rsidRPr="00CD52D7" w:rsidRDefault="00CD52D7" w:rsidP="003A3158">
      <w:pPr>
        <w:spacing w:line="360" w:lineRule="auto"/>
        <w:ind w:firstLine="1843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CD52D7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</w:r>
      <w:r w:rsidR="003A3158" w:rsidRPr="00D601DF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</w:r>
      <w:r w:rsidRPr="00CD52D7">
        <w:rPr>
          <w:rFonts w:ascii="Verdana" w:eastAsia="Times New Roman" w:hAnsi="Verdana" w:cs="Times New Roman"/>
          <w:b/>
          <w:sz w:val="20"/>
          <w:szCs w:val="20"/>
          <w:lang w:eastAsia="es-ES"/>
        </w:rPr>
        <w:t>4.2.3. Principios del procedimiento sancionador</w:t>
      </w:r>
    </w:p>
    <w:p w:rsidR="00CD52D7" w:rsidRPr="00CD52D7" w:rsidRDefault="00CD52D7" w:rsidP="003A3158">
      <w:pPr>
        <w:spacing w:line="360" w:lineRule="auto"/>
        <w:ind w:left="2829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CD52D7">
        <w:rPr>
          <w:rFonts w:ascii="Verdana" w:eastAsia="Times New Roman" w:hAnsi="Verdana" w:cs="Times New Roman"/>
          <w:b/>
          <w:sz w:val="20"/>
          <w:szCs w:val="20"/>
          <w:lang w:eastAsia="es-ES"/>
        </w:rPr>
        <w:t>4.2.4. Fases del procedimiento sancionador general</w:t>
      </w:r>
    </w:p>
    <w:p w:rsidR="00CD52D7" w:rsidRPr="00CD52D7" w:rsidRDefault="00CD52D7" w:rsidP="003A3158">
      <w:pPr>
        <w:spacing w:line="360" w:lineRule="auto"/>
        <w:ind w:firstLine="1843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CD52D7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tab/>
      </w:r>
      <w:r w:rsidR="003A3158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tab/>
      </w:r>
      <w:r w:rsidRPr="00CD52D7">
        <w:rPr>
          <w:rFonts w:ascii="Verdana" w:eastAsia="Times New Roman" w:hAnsi="Verdana" w:cs="Times New Roman"/>
          <w:b/>
          <w:sz w:val="20"/>
          <w:szCs w:val="20"/>
          <w:lang w:eastAsia="es-ES"/>
        </w:rPr>
        <w:t>4.2.5. Preguntas y respuestas</w:t>
      </w:r>
    </w:p>
    <w:p w:rsidR="00CD52D7" w:rsidRPr="00CD52D7" w:rsidRDefault="00CD52D7" w:rsidP="003A3158">
      <w:pPr>
        <w:spacing w:line="360" w:lineRule="auto"/>
        <w:ind w:left="2832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CD52D7">
        <w:rPr>
          <w:rFonts w:ascii="Verdana" w:eastAsia="Times New Roman" w:hAnsi="Verdana" w:cs="Times New Roman"/>
          <w:b/>
          <w:sz w:val="20"/>
          <w:szCs w:val="20"/>
          <w:lang w:eastAsia="es-ES"/>
        </w:rPr>
        <w:t>4.3. Especialidades del procedimiento de responsabilidad patrimonial de la administración.</w:t>
      </w:r>
    </w:p>
    <w:p w:rsidR="00CD52D7" w:rsidRPr="00CD52D7" w:rsidRDefault="00CD52D7" w:rsidP="00CD52D7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CD52D7">
        <w:rPr>
          <w:rFonts w:ascii="Verdana" w:eastAsia="Times New Roman" w:hAnsi="Verdana" w:cs="Times New Roman"/>
          <w:sz w:val="20"/>
          <w:szCs w:val="20"/>
          <w:lang w:eastAsia="es-ES"/>
        </w:rPr>
        <w:tab/>
      </w:r>
      <w:r w:rsidR="003A3158" w:rsidRPr="00D601DF">
        <w:rPr>
          <w:rFonts w:ascii="Verdana" w:eastAsia="Times New Roman" w:hAnsi="Verdana" w:cs="Times New Roman"/>
          <w:sz w:val="20"/>
          <w:szCs w:val="20"/>
          <w:lang w:eastAsia="es-ES"/>
        </w:rPr>
        <w:tab/>
      </w:r>
      <w:r w:rsidR="003A3158" w:rsidRPr="00D601DF">
        <w:rPr>
          <w:rFonts w:ascii="Verdana" w:eastAsia="Times New Roman" w:hAnsi="Verdana" w:cs="Times New Roman"/>
          <w:sz w:val="20"/>
          <w:szCs w:val="20"/>
          <w:lang w:eastAsia="es-ES"/>
        </w:rPr>
        <w:tab/>
      </w:r>
      <w:r w:rsidR="003A3158" w:rsidRPr="00D601DF">
        <w:rPr>
          <w:rFonts w:ascii="Verdana" w:eastAsia="Times New Roman" w:hAnsi="Verdana" w:cs="Times New Roman"/>
          <w:sz w:val="20"/>
          <w:szCs w:val="20"/>
          <w:lang w:eastAsia="es-ES"/>
        </w:rPr>
        <w:tab/>
      </w:r>
      <w:r w:rsidRPr="00CD52D7">
        <w:rPr>
          <w:rFonts w:ascii="Verdana" w:eastAsia="Times New Roman" w:hAnsi="Verdana" w:cs="Times New Roman"/>
          <w:b/>
          <w:sz w:val="20"/>
          <w:szCs w:val="20"/>
          <w:lang w:eastAsia="es-ES"/>
        </w:rPr>
        <w:t>4.3.1. ASPECTOS PROCEDIMENTALES</w:t>
      </w:r>
    </w:p>
    <w:p w:rsidR="00CD52D7" w:rsidRPr="00CD52D7" w:rsidRDefault="00CD52D7" w:rsidP="00CD52D7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CD52D7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</w:r>
      <w:r w:rsidR="003A3158" w:rsidRPr="00D601DF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</w:r>
      <w:r w:rsidR="003A3158" w:rsidRPr="00D601DF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</w:r>
      <w:r w:rsidR="003A3158" w:rsidRPr="00D601DF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</w:r>
      <w:r w:rsidRPr="00CD52D7">
        <w:rPr>
          <w:rFonts w:ascii="Verdana" w:eastAsia="Times New Roman" w:hAnsi="Verdana" w:cs="Times New Roman"/>
          <w:b/>
          <w:sz w:val="20"/>
          <w:szCs w:val="20"/>
          <w:lang w:eastAsia="es-ES"/>
        </w:rPr>
        <w:t>4.3.2. ASPECTOS SUSTANTIVOS.</w:t>
      </w:r>
    </w:p>
    <w:p w:rsidR="00CD52D7" w:rsidRPr="00CD52D7" w:rsidRDefault="00CD52D7" w:rsidP="00E04691">
      <w:pPr>
        <w:spacing w:after="0" w:line="360" w:lineRule="auto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</w:pPr>
      <w:r w:rsidRPr="00CD52D7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tab/>
      </w:r>
      <w:r w:rsidRPr="00CD52D7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tab/>
      </w:r>
      <w:r w:rsidR="003A3158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tab/>
      </w:r>
      <w:r w:rsidR="003A3158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tab/>
      </w:r>
      <w:r w:rsidR="003A3158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tab/>
      </w:r>
    </w:p>
    <w:p w:rsidR="00CD52D7" w:rsidRPr="00D601DF" w:rsidRDefault="00CD52D7" w:rsidP="00CD52D7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D601DF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4.3.3. Responsabilidad patrimonial por  la prestación de </w:t>
      </w:r>
      <w:r w:rsidRPr="00D601DF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  <w:t xml:space="preserve">servicios </w:t>
      </w:r>
      <w:r w:rsidRPr="00D601DF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  <w:t>electrónicos.</w:t>
      </w:r>
    </w:p>
    <w:p w:rsidR="00CD52D7" w:rsidRPr="00D601DF" w:rsidRDefault="00CD52D7" w:rsidP="00CD52D7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D601DF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  <w:t xml:space="preserve">4.3.4. Novedades en la responsabilidad patrimonial sanitaria y del </w:t>
      </w:r>
      <w:r w:rsidRPr="00D601DF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  <w:t>concesionario</w:t>
      </w:r>
    </w:p>
    <w:p w:rsidR="00CD52D7" w:rsidRPr="00D601DF" w:rsidRDefault="00CD52D7" w:rsidP="00CD52D7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D601DF">
        <w:rPr>
          <w:rFonts w:ascii="Verdana" w:eastAsia="Times New Roman" w:hAnsi="Verdana" w:cs="Times New Roman"/>
          <w:b/>
          <w:sz w:val="20"/>
          <w:szCs w:val="20"/>
          <w:lang w:eastAsia="es-ES"/>
        </w:rPr>
        <w:tab/>
        <w:t>4.3.5. Conclusiones</w:t>
      </w:r>
    </w:p>
    <w:p w:rsidR="00CD52D7" w:rsidRPr="0008482E" w:rsidRDefault="00CD52D7" w:rsidP="00CD52D7">
      <w:pPr>
        <w:spacing w:line="360" w:lineRule="auto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4.3.6. Preguntas y respuestas</w:t>
      </w:r>
    </w:p>
    <w:p w:rsidR="00CD52D7" w:rsidRPr="0008482E" w:rsidRDefault="00CD52D7" w:rsidP="00CD52D7">
      <w:pPr>
        <w:spacing w:line="360" w:lineRule="auto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</w:p>
    <w:p w:rsidR="00CD52D7" w:rsidRPr="00D601DF" w:rsidRDefault="00CD52D7" w:rsidP="00CD52D7">
      <w:pPr>
        <w:spacing w:line="360" w:lineRule="auto"/>
        <w:rPr>
          <w:rFonts w:ascii="Verdana" w:eastAsia="Times New Roman" w:hAnsi="Verdana" w:cs="Times New Roman"/>
          <w:b/>
          <w:color w:val="548DD4" w:themeColor="text2" w:themeTint="99"/>
          <w:sz w:val="20"/>
          <w:szCs w:val="20"/>
          <w:u w:val="single"/>
          <w:lang w:eastAsia="es-ES"/>
        </w:rPr>
      </w:pPr>
      <w:r w:rsidRPr="00D601DF">
        <w:rPr>
          <w:rFonts w:ascii="Verdana" w:eastAsia="Times New Roman" w:hAnsi="Verdana" w:cs="Times New Roman"/>
          <w:b/>
          <w:color w:val="548DD4" w:themeColor="text2" w:themeTint="99"/>
          <w:sz w:val="20"/>
          <w:szCs w:val="20"/>
          <w:u w:val="single"/>
          <w:lang w:eastAsia="es-ES"/>
        </w:rPr>
        <w:lastRenderedPageBreak/>
        <w:t>TEMA 5. LOS ACTOS ADMINISTRATIVOS (TÍTULO III). OTROS REQUISITOS.</w:t>
      </w:r>
    </w:p>
    <w:p w:rsidR="00CD52D7" w:rsidRPr="0008482E" w:rsidRDefault="00CD52D7" w:rsidP="00CD52D7">
      <w:pPr>
        <w:spacing w:line="360" w:lineRule="auto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>5.1. Consideraciones generales. La comunicación.</w:t>
      </w:r>
    </w:p>
    <w:p w:rsidR="00CD52D7" w:rsidRPr="00E04691" w:rsidRDefault="00CD52D7" w:rsidP="00E04691">
      <w:pPr>
        <w:spacing w:line="360" w:lineRule="auto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5.1.1. Consideraciones generales</w:t>
      </w:r>
    </w:p>
    <w:p w:rsidR="00CD52D7" w:rsidRPr="00E04691" w:rsidRDefault="00CD52D7" w:rsidP="00E04691">
      <w:pPr>
        <w:spacing w:line="360" w:lineRule="auto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5.1.2. Requisitos de los actos administrativos (arts. 34 a 36 LPA)</w:t>
      </w:r>
    </w:p>
    <w:p w:rsidR="00CD52D7" w:rsidRPr="0008482E" w:rsidRDefault="00CD52D7" w:rsidP="00CD52D7">
      <w:pPr>
        <w:spacing w:line="360" w:lineRule="auto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>5.2. Eficacia de los actos administrativos</w:t>
      </w:r>
    </w:p>
    <w:p w:rsidR="00CD52D7" w:rsidRPr="0008482E" w:rsidRDefault="00CD52D7" w:rsidP="00CD52D7">
      <w:pPr>
        <w:spacing w:line="360" w:lineRule="auto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5.2.1. Inderogabilidad singular (art. 37 LPA)</w:t>
      </w:r>
    </w:p>
    <w:p w:rsidR="00CD52D7" w:rsidRPr="0008482E" w:rsidRDefault="00CD52D7" w:rsidP="00CD52D7">
      <w:pPr>
        <w:spacing w:line="360" w:lineRule="auto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5.2.2. Ejecutividad de los actos administrativos (art. 38 LPA)</w:t>
      </w:r>
    </w:p>
    <w:p w:rsidR="00CD52D7" w:rsidRPr="00E04691" w:rsidRDefault="00CD52D7" w:rsidP="00E04691">
      <w:pPr>
        <w:spacing w:line="360" w:lineRule="auto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5.2.3. Efectos</w:t>
      </w:r>
    </w:p>
    <w:p w:rsidR="00CD52D7" w:rsidRPr="0008482E" w:rsidRDefault="00CD52D7" w:rsidP="00CD52D7">
      <w:pPr>
        <w:spacing w:line="360" w:lineRule="auto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 xml:space="preserve">5.2.4. "Si no es electrónico no es un documento público </w:t>
      </w: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administrativo". (Art. 26 LPA)</w:t>
      </w:r>
    </w:p>
    <w:p w:rsidR="00CD52D7" w:rsidRPr="0008482E" w:rsidRDefault="00CD52D7" w:rsidP="00CD52D7">
      <w:pPr>
        <w:spacing w:line="360" w:lineRule="auto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5.2.5. Copias de documentos: la compulsa electrónica.</w:t>
      </w:r>
    </w:p>
    <w:p w:rsidR="00CD52D7" w:rsidRPr="0008482E" w:rsidRDefault="00CD52D7" w:rsidP="00CD52D7">
      <w:pPr>
        <w:spacing w:line="360" w:lineRule="auto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5.2.6. Notificación electrónica: ¿la preferente?</w:t>
      </w:r>
    </w:p>
    <w:p w:rsidR="004A1274" w:rsidRDefault="00CD52D7" w:rsidP="004A1274">
      <w:pPr>
        <w:tabs>
          <w:tab w:val="left" w:pos="2838"/>
        </w:tabs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>5.2.7. Publicación del acto administrativo.</w:t>
      </w:r>
    </w:p>
    <w:p w:rsidR="00CD52D7" w:rsidRPr="0008482E" w:rsidRDefault="00CD52D7" w:rsidP="00CD52D7">
      <w:pPr>
        <w:spacing w:line="360" w:lineRule="auto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08482E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>5.3. Régimen de invalidez de los actos administrativos. Técnicas de reducción de la invalidez (Arts. 47 a 52 LPA)</w:t>
      </w:r>
    </w:p>
    <w:p w:rsidR="00CD52D7" w:rsidRPr="00C567EB" w:rsidRDefault="00CD52D7" w:rsidP="00CD52D7">
      <w:pPr>
        <w:spacing w:line="360" w:lineRule="auto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5.3.1</w:t>
      </w: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Nulidad de pleno derecho de los actos administrativos</w:t>
      </w:r>
    </w:p>
    <w:p w:rsidR="00CD52D7" w:rsidRPr="00C567EB" w:rsidRDefault="00CD52D7" w:rsidP="00CD52D7">
      <w:pPr>
        <w:spacing w:line="360" w:lineRule="auto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5.3.2</w:t>
      </w: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Anulabilidad de los actos administrativos</w:t>
      </w:r>
    </w:p>
    <w:p w:rsidR="00CD52D7" w:rsidRPr="00C567EB" w:rsidRDefault="00CD52D7" w:rsidP="00CD52D7">
      <w:pPr>
        <w:spacing w:line="360" w:lineRule="auto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5.3.3</w:t>
      </w: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Convalidación, conversión e incomunicación de invalidez</w:t>
      </w:r>
    </w:p>
    <w:p w:rsidR="00CD52D7" w:rsidRPr="00807D9C" w:rsidRDefault="00CD52D7" w:rsidP="00E04691">
      <w:pPr>
        <w:spacing w:line="360" w:lineRule="auto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</w:pPr>
      <w:r w:rsidRPr="00807D9C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tab/>
      </w:r>
      <w:r w:rsidRPr="00807D9C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tab/>
      </w:r>
    </w:p>
    <w:p w:rsidR="00CD52D7" w:rsidRDefault="00CD52D7" w:rsidP="00CD52D7">
      <w:pPr>
        <w:spacing w:line="360" w:lineRule="auto"/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</w:pPr>
    </w:p>
    <w:p w:rsidR="00CD52D7" w:rsidRPr="00D601DF" w:rsidRDefault="00CD52D7" w:rsidP="00CD52D7">
      <w:pPr>
        <w:spacing w:line="360" w:lineRule="auto"/>
        <w:rPr>
          <w:rFonts w:ascii="Verdana" w:eastAsia="Times New Roman" w:hAnsi="Verdana" w:cs="Times New Roman"/>
          <w:b/>
          <w:color w:val="548DD4" w:themeColor="text2" w:themeTint="99"/>
          <w:sz w:val="20"/>
          <w:szCs w:val="20"/>
          <w:u w:val="single"/>
          <w:lang w:eastAsia="es-ES"/>
        </w:rPr>
      </w:pPr>
      <w:r w:rsidRPr="00D601DF">
        <w:rPr>
          <w:rFonts w:ascii="Verdana" w:eastAsia="Times New Roman" w:hAnsi="Verdana" w:cs="Times New Roman"/>
          <w:b/>
          <w:color w:val="548DD4" w:themeColor="text2" w:themeTint="99"/>
          <w:sz w:val="20"/>
          <w:szCs w:val="20"/>
          <w:u w:val="single"/>
          <w:lang w:eastAsia="es-ES"/>
        </w:rPr>
        <w:t>TEMA 6. CONTROL EN VÍA ADMINISTRATIVA. MECANISMOS.</w:t>
      </w:r>
    </w:p>
    <w:p w:rsidR="00CD52D7" w:rsidRPr="00C567EB" w:rsidRDefault="00CD52D7" w:rsidP="00CD52D7">
      <w:pPr>
        <w:spacing w:line="360" w:lineRule="auto"/>
        <w:ind w:left="708" w:firstLine="1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>6.1. Procedimiento administrativo en vía de recurso. Normas generales.</w:t>
      </w:r>
    </w:p>
    <w:p w:rsidR="00CD52D7" w:rsidRPr="00C567EB" w:rsidRDefault="00CD52D7" w:rsidP="00CD52D7">
      <w:pPr>
        <w:spacing w:line="360" w:lineRule="auto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6.1.1. Ámbito de aplicación </w:t>
      </w:r>
    </w:p>
    <w:p w:rsidR="00E04691" w:rsidRPr="00E04691" w:rsidRDefault="00CD52D7" w:rsidP="00E04691">
      <w:pPr>
        <w:spacing w:line="360" w:lineRule="auto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6.1.2. Figuras no asimilables al recurso administrativo </w:t>
      </w:r>
    </w:p>
    <w:p w:rsidR="00CD52D7" w:rsidRPr="00C567EB" w:rsidRDefault="00CD52D7" w:rsidP="00CD52D7">
      <w:pPr>
        <w:spacing w:line="360" w:lineRule="auto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807D9C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lastRenderedPageBreak/>
        <w:tab/>
      </w: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>6.1.3. Vía administrativa previa </w:t>
      </w:r>
    </w:p>
    <w:p w:rsidR="00CD52D7" w:rsidRPr="00E04691" w:rsidRDefault="00CD52D7" w:rsidP="00E04691">
      <w:pPr>
        <w:keepNext/>
        <w:widowControl w:val="0"/>
        <w:autoSpaceDE w:val="0"/>
        <w:autoSpaceDN w:val="0"/>
        <w:adjustRightInd w:val="0"/>
        <w:spacing w:before="283" w:after="0" w:line="360" w:lineRule="auto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 xml:space="preserve">6.1.4. Tipos de recursos administrativos </w:t>
      </w:r>
    </w:p>
    <w:p w:rsidR="00CD52D7" w:rsidRPr="00807D9C" w:rsidRDefault="00CD52D7" w:rsidP="00CD52D7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</w:pPr>
    </w:p>
    <w:p w:rsidR="00CD52D7" w:rsidRPr="00E04691" w:rsidRDefault="00CD52D7" w:rsidP="00E04691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807D9C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tab/>
      </w: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>6.1.5. Actos recurribles en vía administrativa </w:t>
      </w:r>
    </w:p>
    <w:p w:rsidR="00CD52D7" w:rsidRPr="00C567EB" w:rsidRDefault="00CD52D7" w:rsidP="00CD52D7">
      <w:pPr>
        <w:widowControl w:val="0"/>
        <w:autoSpaceDE w:val="0"/>
        <w:autoSpaceDN w:val="0"/>
        <w:adjustRightInd w:val="0"/>
        <w:spacing w:after="0" w:line="480" w:lineRule="auto"/>
        <w:ind w:right="-20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807D9C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tab/>
      </w: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>6.1.6. EL RECURSO DE ALZADA</w:t>
      </w:r>
    </w:p>
    <w:p w:rsidR="00CD52D7" w:rsidRPr="00C567EB" w:rsidRDefault="00CD52D7" w:rsidP="00CD52D7">
      <w:pPr>
        <w:widowControl w:val="0"/>
        <w:autoSpaceDE w:val="0"/>
        <w:autoSpaceDN w:val="0"/>
        <w:adjustRightInd w:val="0"/>
        <w:spacing w:after="0" w:line="480" w:lineRule="auto"/>
        <w:ind w:right="-20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6.1.7. EL RECURSO POTESTATIVO DE REPOSICIÓN</w:t>
      </w:r>
    </w:p>
    <w:p w:rsidR="00CD52D7" w:rsidRPr="00C567EB" w:rsidRDefault="00CD52D7" w:rsidP="00CD52D7">
      <w:pPr>
        <w:widowControl w:val="0"/>
        <w:autoSpaceDE w:val="0"/>
        <w:autoSpaceDN w:val="0"/>
        <w:adjustRightInd w:val="0"/>
        <w:spacing w:after="0" w:line="480" w:lineRule="auto"/>
        <w:ind w:right="-20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6.1.8. EL RECURSO EXTRAORDINARIO DE REVISIÓN</w:t>
      </w:r>
    </w:p>
    <w:p w:rsidR="00CD52D7" w:rsidRPr="00C567EB" w:rsidRDefault="00CD52D7" w:rsidP="00CD52D7">
      <w:pPr>
        <w:widowControl w:val="0"/>
        <w:autoSpaceDE w:val="0"/>
        <w:autoSpaceDN w:val="0"/>
        <w:adjustRightInd w:val="0"/>
        <w:spacing w:after="0" w:line="480" w:lineRule="auto"/>
        <w:ind w:right="-20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6.1.9.  OTROS MEDIOS DE IMPUGNACIÓN</w:t>
      </w:r>
    </w:p>
    <w:p w:rsidR="00CD52D7" w:rsidRPr="00C567EB" w:rsidRDefault="00CD52D7" w:rsidP="00CD52D7">
      <w:pPr>
        <w:widowControl w:val="0"/>
        <w:autoSpaceDE w:val="0"/>
        <w:autoSpaceDN w:val="0"/>
        <w:adjustRightInd w:val="0"/>
        <w:spacing w:after="0" w:line="480" w:lineRule="auto"/>
        <w:ind w:right="-20" w:firstLine="709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 xml:space="preserve">6.2. Procedimientos de revisión de oficio </w:t>
      </w:r>
    </w:p>
    <w:p w:rsidR="00CD52D7" w:rsidRPr="00E04691" w:rsidRDefault="00CD52D7" w:rsidP="00E04691">
      <w:pPr>
        <w:widowControl w:val="0"/>
        <w:autoSpaceDE w:val="0"/>
        <w:autoSpaceDN w:val="0"/>
        <w:adjustRightInd w:val="0"/>
        <w:spacing w:after="0" w:line="480" w:lineRule="auto"/>
        <w:ind w:right="-20" w:firstLine="709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>6.2.1. Consideraciones generales</w:t>
      </w: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</w:r>
    </w:p>
    <w:p w:rsidR="00CD52D7" w:rsidRPr="00E04691" w:rsidRDefault="00CD52D7" w:rsidP="00E04691">
      <w:pPr>
        <w:widowControl w:val="0"/>
        <w:autoSpaceDE w:val="0"/>
        <w:autoSpaceDN w:val="0"/>
        <w:adjustRightInd w:val="0"/>
        <w:spacing w:after="0" w:line="480" w:lineRule="auto"/>
        <w:ind w:right="-20" w:firstLine="709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 xml:space="preserve">6.2.2. Revisión de disposiciones y actos nulos de pleno derecho (Art. </w:t>
      </w: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106 LPA)</w:t>
      </w:r>
    </w:p>
    <w:p w:rsidR="00CD52D7" w:rsidRPr="00E04691" w:rsidRDefault="00CD52D7" w:rsidP="00E04691">
      <w:pPr>
        <w:widowControl w:val="0"/>
        <w:autoSpaceDE w:val="0"/>
        <w:autoSpaceDN w:val="0"/>
        <w:adjustRightInd w:val="0"/>
        <w:spacing w:after="0" w:line="480" w:lineRule="auto"/>
        <w:ind w:right="-20"/>
        <w:jc w:val="both"/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</w:pPr>
      <w:r w:rsidRPr="00807D9C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tab/>
      </w: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>6.2.3. Revisión de actos anulables</w:t>
      </w: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 xml:space="preserve"> </w:t>
      </w:r>
    </w:p>
    <w:p w:rsidR="00CD52D7" w:rsidRPr="00807D9C" w:rsidRDefault="00CD52D7" w:rsidP="00E04691">
      <w:pPr>
        <w:keepNext/>
        <w:widowControl w:val="0"/>
        <w:autoSpaceDE w:val="0"/>
        <w:autoSpaceDN w:val="0"/>
        <w:adjustRightInd w:val="0"/>
        <w:spacing w:before="283" w:after="0" w:line="360" w:lineRule="auto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ab/>
        <w:t>6.2.4. Revisión de actos válidos</w:t>
      </w:r>
      <w:r w:rsidRPr="00C567EB">
        <w:rPr>
          <w:rFonts w:ascii="Verdana" w:eastAsia="Times New Roman" w:hAnsi="Verdana" w:cs="Times New Roman"/>
          <w:color w:val="666666"/>
          <w:sz w:val="20"/>
          <w:szCs w:val="20"/>
          <w:lang w:eastAsia="es-ES"/>
        </w:rPr>
        <w:t> </w:t>
      </w:r>
    </w:p>
    <w:p w:rsidR="00CD52D7" w:rsidRDefault="00CD52D7" w:rsidP="00CD52D7">
      <w:pPr>
        <w:tabs>
          <w:tab w:val="left" w:pos="2838"/>
        </w:tabs>
        <w:ind w:firstLine="709"/>
      </w:pPr>
      <w:r w:rsidRPr="00C567EB"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>6.2.5. Procedimientos especiales de revisión de oficio</w:t>
      </w:r>
      <w:r>
        <w:rPr>
          <w:rFonts w:ascii="Verdana" w:eastAsia="Times New Roman" w:hAnsi="Verdana" w:cs="Times New Roman"/>
          <w:b/>
          <w:color w:val="666666"/>
          <w:sz w:val="20"/>
          <w:szCs w:val="20"/>
          <w:lang w:eastAsia="es-ES"/>
        </w:rPr>
        <w:t>.</w:t>
      </w:r>
    </w:p>
    <w:p w:rsidR="004A1274" w:rsidRPr="004A1274" w:rsidRDefault="004A1274" w:rsidP="004A1274">
      <w:pPr>
        <w:tabs>
          <w:tab w:val="left" w:pos="2838"/>
        </w:tabs>
      </w:pPr>
    </w:p>
    <w:sectPr w:rsidR="004A1274" w:rsidRPr="004A1274" w:rsidSect="00BB0AE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9CD" w:rsidRDefault="001A09CD" w:rsidP="000E66D5">
      <w:pPr>
        <w:spacing w:after="0" w:line="240" w:lineRule="auto"/>
      </w:pPr>
      <w:r>
        <w:separator/>
      </w:r>
    </w:p>
  </w:endnote>
  <w:endnote w:type="continuationSeparator" w:id="0">
    <w:p w:rsidR="001A09CD" w:rsidRDefault="001A09CD" w:rsidP="000E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9CD" w:rsidRDefault="001A09CD" w:rsidP="000E66D5">
      <w:pPr>
        <w:spacing w:after="0" w:line="240" w:lineRule="auto"/>
      </w:pPr>
      <w:r>
        <w:separator/>
      </w:r>
    </w:p>
  </w:footnote>
  <w:footnote w:type="continuationSeparator" w:id="0">
    <w:p w:rsidR="001A09CD" w:rsidRDefault="001A09CD" w:rsidP="000E6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CD" w:rsidRDefault="001A09CD" w:rsidP="000E66D5">
    <w:pPr>
      <w:pStyle w:val="Encabezado"/>
      <w:jc w:val="center"/>
    </w:pPr>
    <w:r w:rsidRPr="000E66D5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14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292"/>
      </v:shape>
    </w:pict>
  </w:numPicBullet>
  <w:abstractNum w:abstractNumId="0">
    <w:nsid w:val="01124802"/>
    <w:multiLevelType w:val="hybridMultilevel"/>
    <w:tmpl w:val="787CC44E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AD66934"/>
    <w:multiLevelType w:val="hybridMultilevel"/>
    <w:tmpl w:val="81D2F6D4"/>
    <w:lvl w:ilvl="0" w:tplc="B8E48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276CC"/>
    <w:multiLevelType w:val="hybridMultilevel"/>
    <w:tmpl w:val="706AF31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80D3798"/>
    <w:multiLevelType w:val="hybridMultilevel"/>
    <w:tmpl w:val="EF286A9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6D5"/>
    <w:rsid w:val="000E66D5"/>
    <w:rsid w:val="00190D61"/>
    <w:rsid w:val="001A09CD"/>
    <w:rsid w:val="003A3158"/>
    <w:rsid w:val="004A1274"/>
    <w:rsid w:val="00614042"/>
    <w:rsid w:val="008920B7"/>
    <w:rsid w:val="00B11073"/>
    <w:rsid w:val="00B260F8"/>
    <w:rsid w:val="00BB0AE4"/>
    <w:rsid w:val="00CD52D7"/>
    <w:rsid w:val="00D601DF"/>
    <w:rsid w:val="00D67721"/>
    <w:rsid w:val="00E0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6D5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0E66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E6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0E6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66D5"/>
  </w:style>
  <w:style w:type="paragraph" w:styleId="Piedepgina">
    <w:name w:val="footer"/>
    <w:basedOn w:val="Normal"/>
    <w:link w:val="PiedepginaCar"/>
    <w:uiPriority w:val="99"/>
    <w:semiHidden/>
    <w:unhideWhenUsed/>
    <w:rsid w:val="000E6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66D5"/>
  </w:style>
  <w:style w:type="paragraph" w:styleId="Textodeglobo">
    <w:name w:val="Balloon Text"/>
    <w:basedOn w:val="Normal"/>
    <w:link w:val="TextodegloboCar"/>
    <w:uiPriority w:val="99"/>
    <w:semiHidden/>
    <w:unhideWhenUsed/>
    <w:rsid w:val="000E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alealq</cp:lastModifiedBy>
  <cp:revision>7</cp:revision>
  <dcterms:created xsi:type="dcterms:W3CDTF">2016-10-25T10:34:00Z</dcterms:created>
  <dcterms:modified xsi:type="dcterms:W3CDTF">2016-10-28T09:04:00Z</dcterms:modified>
</cp:coreProperties>
</file>